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DA2B" w14:textId="77777777" w:rsidR="00D157C3" w:rsidRPr="006747AC" w:rsidRDefault="00D157C3" w:rsidP="00D157C3">
      <w:pPr>
        <w:pStyle w:val="BodyText"/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747AC">
        <w:rPr>
          <w:rFonts w:asciiTheme="majorHAnsi" w:hAnsiTheme="majorHAnsi" w:cstheme="majorHAnsi"/>
          <w:b/>
          <w:sz w:val="22"/>
          <w:szCs w:val="22"/>
        </w:rPr>
        <w:t xml:space="preserve">Umang Jalan </w:t>
      </w:r>
    </w:p>
    <w:p w14:paraId="207FA90A" w14:textId="7EBC2946" w:rsidR="00D157C3" w:rsidRPr="006747AC" w:rsidRDefault="00D157C3" w:rsidP="00D157C3">
      <w:pPr>
        <w:pStyle w:val="BodyText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6747AC">
        <w:rPr>
          <w:rFonts w:asciiTheme="majorHAnsi" w:hAnsiTheme="majorHAnsi" w:cstheme="majorHAnsi"/>
          <w:sz w:val="22"/>
          <w:szCs w:val="22"/>
        </w:rPr>
        <w:t xml:space="preserve">New Delhi, India </w:t>
      </w:r>
    </w:p>
    <w:p w14:paraId="5C84AA3D" w14:textId="77777777" w:rsidR="00D157C3" w:rsidRPr="006747AC" w:rsidRDefault="00D157C3" w:rsidP="00D157C3">
      <w:pPr>
        <w:pStyle w:val="BodyText"/>
        <w:spacing w:after="0"/>
        <w:jc w:val="both"/>
        <w:rPr>
          <w:rFonts w:asciiTheme="majorHAnsi" w:hAnsiTheme="majorHAnsi" w:cstheme="majorHAnsi"/>
          <w:color w:val="444444"/>
          <w:sz w:val="22"/>
          <w:szCs w:val="22"/>
        </w:rPr>
      </w:pPr>
      <w:r w:rsidRPr="006747AC">
        <w:rPr>
          <w:rFonts w:asciiTheme="majorHAnsi" w:hAnsiTheme="majorHAnsi" w:cstheme="majorHAnsi"/>
          <w:color w:val="444444"/>
          <w:sz w:val="22"/>
          <w:szCs w:val="22"/>
        </w:rPr>
        <w:t xml:space="preserve">Email: </w:t>
      </w:r>
      <w:hyperlink r:id="rId5" w:history="1">
        <w:r w:rsidR="00CE7F26" w:rsidRPr="006747AC">
          <w:rPr>
            <w:rStyle w:val="Hyperlink"/>
            <w:rFonts w:asciiTheme="majorHAnsi" w:hAnsiTheme="majorHAnsi" w:cstheme="majorHAnsi"/>
            <w:sz w:val="22"/>
            <w:szCs w:val="22"/>
          </w:rPr>
          <w:t>umangjalan1106@gmail.com</w:t>
        </w:r>
      </w:hyperlink>
      <w:r w:rsidR="00CE7F26" w:rsidRPr="006747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B0C067" w14:textId="0B530D10" w:rsidR="007659BB" w:rsidRDefault="009203F1" w:rsidP="00093DE0">
      <w:pPr>
        <w:pStyle w:val="BodyText"/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444444"/>
          <w:sz w:val="22"/>
          <w:szCs w:val="22"/>
        </w:rPr>
        <w:t>Mob:</w:t>
      </w:r>
      <w:r w:rsidR="00D157C3" w:rsidRPr="006747AC">
        <w:rPr>
          <w:rFonts w:asciiTheme="majorHAnsi" w:hAnsiTheme="majorHAnsi" w:cstheme="majorHAnsi"/>
          <w:b/>
          <w:color w:val="444444"/>
          <w:sz w:val="22"/>
          <w:szCs w:val="22"/>
        </w:rPr>
        <w:t xml:space="preserve"> </w:t>
      </w:r>
      <w:r w:rsidR="00D157C3" w:rsidRPr="006747AC">
        <w:rPr>
          <w:rFonts w:asciiTheme="majorHAnsi" w:hAnsiTheme="majorHAnsi" w:cstheme="majorHAnsi"/>
          <w:b/>
          <w:sz w:val="22"/>
          <w:szCs w:val="22"/>
        </w:rPr>
        <w:t>9818610944</w:t>
      </w:r>
    </w:p>
    <w:p w14:paraId="2F418872" w14:textId="559D7090" w:rsidR="0017717F" w:rsidRPr="00093DE0" w:rsidRDefault="0017717F" w:rsidP="00093DE0">
      <w:pPr>
        <w:pStyle w:val="BodyText"/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Current CTC: 1</w:t>
      </w:r>
      <w:r w:rsidR="00F837F3">
        <w:rPr>
          <w:rFonts w:asciiTheme="majorHAnsi" w:hAnsiTheme="majorHAnsi" w:cstheme="majorHAnsi"/>
          <w:b/>
          <w:sz w:val="22"/>
          <w:szCs w:val="22"/>
        </w:rPr>
        <w:t>5</w:t>
      </w:r>
      <w:r>
        <w:rPr>
          <w:rFonts w:asciiTheme="majorHAnsi" w:hAnsiTheme="majorHAnsi" w:cstheme="majorHAnsi"/>
          <w:b/>
          <w:sz w:val="22"/>
          <w:szCs w:val="22"/>
        </w:rPr>
        <w:t>-18 lakhs per annum</w:t>
      </w:r>
      <w:r w:rsidR="007B453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DA46155" w14:textId="77777777" w:rsidR="00497CDB" w:rsidRDefault="00497CDB" w:rsidP="00093DE0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</w:p>
    <w:p w14:paraId="6658C992" w14:textId="77777777" w:rsidR="00497CDB" w:rsidRDefault="00497CDB" w:rsidP="00497CDB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  <w:r>
        <w:rPr>
          <w:rFonts w:asciiTheme="majorHAnsi" w:hAnsiTheme="majorHAnsi" w:cstheme="majorHAnsi"/>
          <w:b/>
          <w:color w:val="00B0F0"/>
          <w:sz w:val="26"/>
          <w:szCs w:val="26"/>
        </w:rPr>
        <w:t>Core Competencies</w:t>
      </w:r>
    </w:p>
    <w:p w14:paraId="013D417A" w14:textId="77777777" w:rsidR="00497CDB" w:rsidRDefault="00497CDB" w:rsidP="00497CDB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</w:p>
    <w:p w14:paraId="574880F5" w14:textId="732CB43F" w:rsidR="00497CDB" w:rsidRPr="007B4537" w:rsidRDefault="00497CDB" w:rsidP="0068645B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proofErr w:type="spellStart"/>
      <w:r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>Programme</w:t>
      </w:r>
      <w:proofErr w:type="spellEnd"/>
      <w:r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Management, Policy Research, Research Design, </w:t>
      </w:r>
      <w:r w:rsidR="000704FC"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Data Analytics (Python, Excel), </w:t>
      </w:r>
      <w:r w:rsidR="00E53745"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Strategic </w:t>
      </w:r>
      <w:r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>Communication</w:t>
      </w:r>
      <w:r w:rsidR="007B4537"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 w:rsidR="007B4537">
        <w:rPr>
          <w:rFonts w:asciiTheme="majorHAnsi" w:hAnsiTheme="majorHAnsi" w:cstheme="majorHAnsi"/>
          <w:bCs/>
          <w:color w:val="0D0D0D"/>
          <w:sz w:val="22"/>
          <w:szCs w:val="22"/>
        </w:rPr>
        <w:t>–</w:t>
      </w:r>
      <w:r w:rsidR="007B4537" w:rsidRPr="007B453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 w:rsidR="007B4537" w:rsidRPr="007B4537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Looking to change careers to finance – have </w:t>
      </w:r>
      <w:r w:rsidR="007B4537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given </w:t>
      </w:r>
      <w:r w:rsidR="007B4537" w:rsidRPr="007B4537">
        <w:rPr>
          <w:rFonts w:asciiTheme="majorHAnsi" w:hAnsiTheme="majorHAnsi" w:cstheme="majorHAnsi"/>
          <w:b/>
          <w:color w:val="0D0D0D"/>
          <w:sz w:val="22"/>
          <w:szCs w:val="22"/>
        </w:rPr>
        <w:t>the CFA level I exam in May, 2025</w:t>
      </w:r>
      <w:r w:rsidR="007B4537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(scheduled to give FRM</w:t>
      </w:r>
      <w:r w:rsidR="00283168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Part I</w:t>
      </w:r>
      <w:r w:rsidR="007B4537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in August)</w:t>
      </w:r>
      <w:r w:rsidR="007B4537" w:rsidRPr="007B4537">
        <w:rPr>
          <w:rFonts w:asciiTheme="majorHAnsi" w:hAnsiTheme="majorHAnsi" w:cstheme="majorHAnsi"/>
          <w:b/>
          <w:color w:val="0D0D0D"/>
          <w:sz w:val="22"/>
          <w:szCs w:val="22"/>
        </w:rPr>
        <w:t>.</w:t>
      </w:r>
    </w:p>
    <w:p w14:paraId="6F7E6AA5" w14:textId="77777777" w:rsidR="0068645B" w:rsidRPr="0068645B" w:rsidRDefault="0068645B" w:rsidP="0068645B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775358DA" w14:textId="081BCD6C" w:rsidR="00CE7F26" w:rsidRDefault="00D157C3" w:rsidP="00093DE0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  <w:r w:rsidRPr="00093DE0">
        <w:rPr>
          <w:rFonts w:asciiTheme="majorHAnsi" w:hAnsiTheme="majorHAnsi" w:cstheme="majorHAnsi"/>
          <w:b/>
          <w:color w:val="00B0F0"/>
          <w:sz w:val="26"/>
          <w:szCs w:val="26"/>
        </w:rPr>
        <w:t>Experience</w:t>
      </w:r>
      <w:bookmarkStart w:id="0" w:name="fruw"/>
      <w:bookmarkEnd w:id="0"/>
    </w:p>
    <w:p w14:paraId="5EBC34A8" w14:textId="77777777" w:rsidR="00AD0F64" w:rsidRDefault="00AD0F64" w:rsidP="00093DE0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</w:p>
    <w:p w14:paraId="34B6B271" w14:textId="3E2130D3" w:rsidR="00AD0F64" w:rsidRDefault="00AD0F64" w:rsidP="00AD0F64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F837F3">
        <w:rPr>
          <w:rFonts w:asciiTheme="majorHAnsi" w:hAnsiTheme="majorHAnsi" w:cstheme="majorHAnsi"/>
          <w:b/>
          <w:color w:val="0D0D0D"/>
          <w:sz w:val="22"/>
          <w:szCs w:val="22"/>
        </w:rPr>
        <w:t>I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 xml:space="preserve">ndian </w:t>
      </w:r>
      <w:r w:rsidRPr="00F837F3">
        <w:rPr>
          <w:rFonts w:asciiTheme="majorHAnsi" w:hAnsiTheme="majorHAnsi" w:cstheme="majorHAnsi"/>
          <w:b/>
          <w:color w:val="0D0D0D"/>
          <w:sz w:val="22"/>
          <w:szCs w:val="22"/>
        </w:rPr>
        <w:t>M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 xml:space="preserve">etallurgical Coke Manufacturers’ Association (IMCOM) – </w:t>
      </w:r>
      <w:proofErr w:type="spellStart"/>
      <w:r>
        <w:rPr>
          <w:rFonts w:asciiTheme="majorHAnsi" w:hAnsiTheme="majorHAnsi" w:cstheme="majorHAnsi"/>
          <w:b/>
          <w:color w:val="0D0D0D"/>
          <w:sz w:val="22"/>
          <w:szCs w:val="22"/>
        </w:rPr>
        <w:t>Programme</w:t>
      </w:r>
      <w:proofErr w:type="spellEnd"/>
      <w:r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Manager</w:t>
      </w:r>
      <w:r w:rsidR="00265F47">
        <w:rPr>
          <w:rFonts w:asciiTheme="majorHAnsi" w:hAnsiTheme="majorHAnsi" w:cstheme="majorHAnsi"/>
          <w:b/>
          <w:color w:val="0D0D0D"/>
          <w:sz w:val="22"/>
          <w:szCs w:val="22"/>
        </w:rPr>
        <w:t>, September 2024- Present</w:t>
      </w:r>
    </w:p>
    <w:p w14:paraId="72D18EE7" w14:textId="60BD1BEE" w:rsidR="00AD0F64" w:rsidRPr="00265F47" w:rsidRDefault="00AD0F64" w:rsidP="00265F47">
      <w:pPr>
        <w:pStyle w:val="BodyText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IMCOM is the apex industry body for merchant </w:t>
      </w:r>
      <w:proofErr w:type="gramStart"/>
      <w:r>
        <w:rPr>
          <w:rFonts w:asciiTheme="majorHAnsi" w:hAnsiTheme="majorHAnsi" w:cstheme="majorHAnsi"/>
          <w:bCs/>
          <w:color w:val="0D0D0D"/>
          <w:sz w:val="22"/>
          <w:szCs w:val="22"/>
        </w:rPr>
        <w:t>manufacturers’</w:t>
      </w:r>
      <w:proofErr w:type="gramEnd"/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of metallurgical Coke in India – the association spans is 150 years old and spans the breadth of India</w:t>
      </w:r>
    </w:p>
    <w:p w14:paraId="046C4419" w14:textId="77777777" w:rsidR="00AD0F64" w:rsidRPr="00AD0F64" w:rsidRDefault="00AD0F64" w:rsidP="00AD0F64">
      <w:pPr>
        <w:pStyle w:val="BodyText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Managing government outreach for the Indian Met-Coke manufacturers association.</w:t>
      </w:r>
    </w:p>
    <w:p w14:paraId="44012EC0" w14:textId="77777777" w:rsidR="00AD0F64" w:rsidRPr="00AD0F64" w:rsidRDefault="00AD0F64" w:rsidP="00AD0F64">
      <w:pPr>
        <w:pStyle w:val="BodyText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Policy research related to issues of trade, industry and taxation</w:t>
      </w:r>
    </w:p>
    <w:p w14:paraId="364E3E86" w14:textId="77777777" w:rsidR="00AD0F64" w:rsidRPr="00AD0F64" w:rsidRDefault="00AD0F64" w:rsidP="00AD0F64">
      <w:pPr>
        <w:pStyle w:val="BodyText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Crafting communication for use in communication with government and non-government stakeholders</w:t>
      </w:r>
    </w:p>
    <w:p w14:paraId="282A84CD" w14:textId="77777777" w:rsidR="00AD0F64" w:rsidRPr="00AD0F64" w:rsidRDefault="00AD0F64" w:rsidP="00AD0F64">
      <w:pPr>
        <w:pStyle w:val="BodyText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Providing inputs in strategy development with regard to liaising with the government for proposed trade remedies on the import of Met-Coke into India </w:t>
      </w:r>
    </w:p>
    <w:p w14:paraId="712C5DA7" w14:textId="02C6A92C" w:rsidR="00AD0F64" w:rsidRPr="003673D9" w:rsidRDefault="00AD0F64" w:rsidP="00AD0F64">
      <w:pPr>
        <w:pStyle w:val="BodyText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Regular liaison with government agencies and departments.</w:t>
      </w:r>
    </w:p>
    <w:p w14:paraId="3ED44A1F" w14:textId="77777777" w:rsidR="00AD0F64" w:rsidRPr="00093DE0" w:rsidRDefault="00AD0F64" w:rsidP="00093DE0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</w:p>
    <w:p w14:paraId="4D3CE1AA" w14:textId="77777777" w:rsidR="00C410AE" w:rsidRDefault="00C410AE" w:rsidP="00C410AE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422C1B72" w14:textId="68246520" w:rsidR="00200455" w:rsidRDefault="00200455" w:rsidP="003474E8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/>
          <w:color w:val="0D0D0D"/>
          <w:sz w:val="22"/>
          <w:szCs w:val="22"/>
        </w:rPr>
        <w:t>Core Consultants Private Limited</w:t>
      </w:r>
      <w:r w:rsidR="007061BA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– Senior Consultant, </w:t>
      </w:r>
      <w:r w:rsidR="002839A7">
        <w:rPr>
          <w:rFonts w:asciiTheme="majorHAnsi" w:hAnsiTheme="majorHAnsi" w:cstheme="majorHAnsi"/>
          <w:b/>
          <w:color w:val="0D0D0D"/>
          <w:sz w:val="22"/>
          <w:szCs w:val="22"/>
        </w:rPr>
        <w:t>Nov</w:t>
      </w:r>
      <w:r w:rsidR="00CD71DF">
        <w:rPr>
          <w:rFonts w:asciiTheme="majorHAnsi" w:hAnsiTheme="majorHAnsi" w:cstheme="majorHAnsi"/>
          <w:b/>
          <w:color w:val="0D0D0D"/>
          <w:sz w:val="22"/>
          <w:szCs w:val="22"/>
        </w:rPr>
        <w:t>ember</w:t>
      </w:r>
      <w:r w:rsidR="007061BA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2023- </w:t>
      </w:r>
      <w:r w:rsidR="00101E77">
        <w:rPr>
          <w:rFonts w:asciiTheme="majorHAnsi" w:hAnsiTheme="majorHAnsi" w:cstheme="majorHAnsi"/>
          <w:b/>
          <w:color w:val="0D0D0D"/>
          <w:sz w:val="22"/>
          <w:szCs w:val="22"/>
        </w:rPr>
        <w:t>September, 2024</w:t>
      </w:r>
    </w:p>
    <w:p w14:paraId="09CC1074" w14:textId="3CF16B08" w:rsidR="00200455" w:rsidRPr="00200455" w:rsidRDefault="00200455" w:rsidP="00200455">
      <w:pPr>
        <w:pStyle w:val="BodyText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Small consulting firm specializing in </w:t>
      </w:r>
      <w:r w:rsidR="0017717F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government affairs, 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t>integrated water management, environment and sustainability related issues. Clients include both government and non-government entities</w:t>
      </w:r>
      <w:r w:rsidR="00D7260A">
        <w:rPr>
          <w:rFonts w:asciiTheme="majorHAnsi" w:hAnsiTheme="majorHAnsi" w:cstheme="majorHAnsi"/>
          <w:bCs/>
          <w:color w:val="0D0D0D"/>
          <w:sz w:val="22"/>
          <w:szCs w:val="22"/>
        </w:rPr>
        <w:t>. My responsibilities here include:</w:t>
      </w:r>
    </w:p>
    <w:p w14:paraId="1B07EC87" w14:textId="77F64ED3" w:rsidR="00200455" w:rsidRDefault="00200455" w:rsidP="00200455">
      <w:pPr>
        <w:pStyle w:val="BodyText"/>
        <w:numPr>
          <w:ilvl w:val="1"/>
          <w:numId w:val="17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Developing communication materials related to </w:t>
      </w:r>
      <w:r w:rsidR="005769D3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waste/water management, sustainable development and climate change 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t>for inhouse use and organizations like D</w:t>
      </w:r>
      <w:r w:rsidR="005769D3">
        <w:rPr>
          <w:rFonts w:asciiTheme="majorHAnsi" w:hAnsiTheme="majorHAnsi" w:cstheme="majorHAnsi"/>
          <w:bCs/>
          <w:color w:val="0D0D0D"/>
          <w:sz w:val="22"/>
          <w:szCs w:val="22"/>
        </w:rPr>
        <w:t>eendayal Upadhyay Research Institute</w:t>
      </w:r>
    </w:p>
    <w:p w14:paraId="295F8BA2" w14:textId="1DDA3969" w:rsidR="00200455" w:rsidRPr="005769D3" w:rsidRDefault="00200455" w:rsidP="00200455">
      <w:pPr>
        <w:pStyle w:val="BodyText"/>
        <w:numPr>
          <w:ilvl w:val="1"/>
          <w:numId w:val="17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Contributing to business development by developing proposals for new grants and opportunities for collaboration</w:t>
      </w:r>
    </w:p>
    <w:p w14:paraId="52A5318F" w14:textId="32D5BF3D" w:rsidR="005769D3" w:rsidRPr="00200455" w:rsidRDefault="005769D3" w:rsidP="00200455">
      <w:pPr>
        <w:pStyle w:val="BodyText"/>
        <w:numPr>
          <w:ilvl w:val="1"/>
          <w:numId w:val="17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Exploring the need for sustainability reporting from SME enterprises, specifically in light of international developments around reporting requirement for scope 3 (supply chain) emissions.</w:t>
      </w:r>
    </w:p>
    <w:p w14:paraId="11C3E0FC" w14:textId="77777777" w:rsidR="00200455" w:rsidRDefault="00200455" w:rsidP="003474E8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3CA5142B" w14:textId="0E924A73" w:rsidR="00413872" w:rsidRDefault="003474E8" w:rsidP="003474E8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/>
          <w:color w:val="0D0D0D"/>
          <w:sz w:val="22"/>
          <w:szCs w:val="22"/>
        </w:rPr>
        <w:t xml:space="preserve">Mindshare Analytics </w:t>
      </w:r>
      <w:r w:rsidR="009F002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– </w:t>
      </w:r>
      <w:r w:rsidR="00286A89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Political and Policy 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>Consultant</w:t>
      </w:r>
      <w:r w:rsidR="00286A89">
        <w:rPr>
          <w:rFonts w:asciiTheme="majorHAnsi" w:hAnsiTheme="majorHAnsi" w:cstheme="majorHAnsi"/>
          <w:b/>
          <w:color w:val="0D0D0D"/>
          <w:sz w:val="22"/>
          <w:szCs w:val="22"/>
        </w:rPr>
        <w:t>,</w:t>
      </w:r>
      <w:r w:rsidR="001460D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>August</w:t>
      </w:r>
      <w:r w:rsidR="004C2181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2022 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>–</w:t>
      </w:r>
      <w:r w:rsidR="004C2181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r w:rsidR="002839A7">
        <w:rPr>
          <w:rFonts w:asciiTheme="majorHAnsi" w:hAnsiTheme="majorHAnsi" w:cstheme="majorHAnsi"/>
          <w:b/>
          <w:color w:val="0D0D0D"/>
          <w:sz w:val="22"/>
          <w:szCs w:val="22"/>
        </w:rPr>
        <w:t>Oc</w:t>
      </w:r>
      <w:r w:rsidR="00CD71DF">
        <w:rPr>
          <w:rFonts w:asciiTheme="majorHAnsi" w:hAnsiTheme="majorHAnsi" w:cstheme="majorHAnsi"/>
          <w:b/>
          <w:color w:val="0D0D0D"/>
          <w:sz w:val="22"/>
          <w:szCs w:val="22"/>
        </w:rPr>
        <w:t>t</w:t>
      </w:r>
      <w:r w:rsidR="00586AC4">
        <w:rPr>
          <w:rFonts w:asciiTheme="majorHAnsi" w:hAnsiTheme="majorHAnsi" w:cstheme="majorHAnsi"/>
          <w:b/>
          <w:color w:val="0D0D0D"/>
          <w:sz w:val="22"/>
          <w:szCs w:val="22"/>
        </w:rPr>
        <w:t>o</w:t>
      </w:r>
      <w:r w:rsidR="00CD71DF">
        <w:rPr>
          <w:rFonts w:asciiTheme="majorHAnsi" w:hAnsiTheme="majorHAnsi" w:cstheme="majorHAnsi"/>
          <w:b/>
          <w:color w:val="0D0D0D"/>
          <w:sz w:val="22"/>
          <w:szCs w:val="22"/>
        </w:rPr>
        <w:t>ber</w:t>
      </w:r>
      <w:r w:rsidR="00200455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2023</w:t>
      </w:r>
    </w:p>
    <w:p w14:paraId="45D29370" w14:textId="77777777" w:rsidR="003474E8" w:rsidRPr="003474E8" w:rsidRDefault="003474E8" w:rsidP="003474E8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2D263CC5" w14:textId="4229088F" w:rsidR="003474E8" w:rsidRPr="00F03DE0" w:rsidRDefault="003474E8" w:rsidP="003474E8">
      <w:pPr>
        <w:pStyle w:val="BodyText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Mindshare Analytics is a political consulting firm. The firm offers services to political parties</w:t>
      </w:r>
      <w:r w:rsidR="00F03DE0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that include – manifesto analysis, campaign design, strategy formulation and policy analysis.</w:t>
      </w:r>
      <w:r w:rsidR="00286A89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My responsibilities here include:</w:t>
      </w:r>
    </w:p>
    <w:p w14:paraId="50070E36" w14:textId="4E775A39" w:rsidR="00F03DE0" w:rsidRPr="00E717D1" w:rsidRDefault="00286A89" w:rsidP="00F03DE0">
      <w:pPr>
        <w:pStyle w:val="BodyText"/>
        <w:numPr>
          <w:ilvl w:val="1"/>
          <w:numId w:val="15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Policy research into major areas of public policy, focusing mostly on agriculture, environment and rural development - at both the state and 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lastRenderedPageBreak/>
        <w:t>national level</w:t>
      </w:r>
    </w:p>
    <w:p w14:paraId="1286BB2F" w14:textId="4B504306" w:rsidR="00E717D1" w:rsidRPr="00A7188B" w:rsidRDefault="00E717D1" w:rsidP="00F03DE0">
      <w:pPr>
        <w:pStyle w:val="BodyText"/>
        <w:numPr>
          <w:ilvl w:val="1"/>
          <w:numId w:val="15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Performing data driven political analyses to help ascertain the appropriate subject matter and demographic to focus on. This included the use of statistical tools like Python and Excel.</w:t>
      </w:r>
    </w:p>
    <w:p w14:paraId="584403E2" w14:textId="6E095DBC" w:rsidR="00A7188B" w:rsidRPr="008343F9" w:rsidRDefault="00286A89" w:rsidP="00F03DE0">
      <w:pPr>
        <w:pStyle w:val="BodyText"/>
        <w:numPr>
          <w:ilvl w:val="1"/>
          <w:numId w:val="15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Providing regular inputs into strategy, political research and government performance analyses at both the state and national level</w:t>
      </w:r>
    </w:p>
    <w:p w14:paraId="3D232242" w14:textId="77777777" w:rsidR="008343F9" w:rsidRPr="003474E8" w:rsidRDefault="008343F9" w:rsidP="008343F9">
      <w:pPr>
        <w:pStyle w:val="BodyText"/>
        <w:spacing w:after="0"/>
        <w:ind w:left="180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704453A1" w14:textId="10D888B0" w:rsidR="00DE4871" w:rsidRDefault="00C410AE" w:rsidP="00DE4871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>
        <w:rPr>
          <w:rFonts w:asciiTheme="majorHAnsi" w:hAnsiTheme="majorHAnsi" w:cstheme="majorHAnsi"/>
          <w:b/>
          <w:color w:val="0D0D0D"/>
          <w:sz w:val="22"/>
          <w:szCs w:val="22"/>
        </w:rPr>
        <w:t>Better Cotton Initiative,</w:t>
      </w:r>
      <w:r w:rsidR="009C0265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Senior</w:t>
      </w:r>
      <w:r w:rsidR="000F6FFD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proofErr w:type="spellStart"/>
      <w:r w:rsidR="005B6C3C">
        <w:rPr>
          <w:rFonts w:asciiTheme="majorHAnsi" w:hAnsiTheme="majorHAnsi" w:cstheme="majorHAnsi"/>
          <w:b/>
          <w:color w:val="0D0D0D"/>
          <w:sz w:val="22"/>
          <w:szCs w:val="22"/>
        </w:rPr>
        <w:t>Programme</w:t>
      </w:r>
      <w:proofErr w:type="spellEnd"/>
      <w:r w:rsidR="005B6C3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r w:rsidR="009C0265">
        <w:rPr>
          <w:rFonts w:asciiTheme="majorHAnsi" w:hAnsiTheme="majorHAnsi" w:cstheme="majorHAnsi"/>
          <w:b/>
          <w:color w:val="0D0D0D"/>
          <w:sz w:val="22"/>
          <w:szCs w:val="22"/>
        </w:rPr>
        <w:t>Officer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,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India Office,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r w:rsidR="00307CF8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May 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20</w:t>
      </w:r>
      <w:r>
        <w:rPr>
          <w:rFonts w:asciiTheme="majorHAnsi" w:hAnsiTheme="majorHAnsi" w:cstheme="majorHAnsi"/>
          <w:b/>
          <w:color w:val="0D0D0D"/>
          <w:sz w:val="22"/>
          <w:szCs w:val="22"/>
        </w:rPr>
        <w:t>21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– </w:t>
      </w:r>
      <w:r w:rsidR="002D2B8E">
        <w:rPr>
          <w:rFonts w:asciiTheme="majorHAnsi" w:hAnsiTheme="majorHAnsi" w:cstheme="majorHAnsi"/>
          <w:b/>
          <w:color w:val="0D0D0D"/>
          <w:sz w:val="22"/>
          <w:szCs w:val="22"/>
        </w:rPr>
        <w:t>June 202</w:t>
      </w:r>
      <w:r w:rsidR="00D4352A">
        <w:rPr>
          <w:rFonts w:asciiTheme="majorHAnsi" w:hAnsiTheme="majorHAnsi" w:cstheme="majorHAnsi"/>
          <w:b/>
          <w:color w:val="0D0D0D"/>
          <w:sz w:val="22"/>
          <w:szCs w:val="22"/>
        </w:rPr>
        <w:t>2</w:t>
      </w:r>
    </w:p>
    <w:p w14:paraId="6199B7DC" w14:textId="77777777" w:rsidR="00DE4871" w:rsidRDefault="00DE4871" w:rsidP="00DE4871">
      <w:pPr>
        <w:pStyle w:val="BodyText"/>
        <w:spacing w:after="0"/>
        <w:jc w:val="both"/>
        <w:rPr>
          <w:rFonts w:eastAsia="Times New Roman"/>
          <w:color w:val="4D5156"/>
          <w:sz w:val="21"/>
          <w:szCs w:val="21"/>
          <w:shd w:val="clear" w:color="auto" w:fill="FFFFFF"/>
        </w:rPr>
      </w:pPr>
    </w:p>
    <w:p w14:paraId="7C5CC18D" w14:textId="635E754C" w:rsidR="00057306" w:rsidRPr="00DE4871" w:rsidRDefault="00DE4871" w:rsidP="00DE4871">
      <w:pPr>
        <w:pStyle w:val="BodyText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DE4871">
        <w:rPr>
          <w:rFonts w:asciiTheme="majorHAnsi" w:hAnsiTheme="majorHAnsi" w:cstheme="majorHAnsi"/>
          <w:bCs/>
          <w:color w:val="0D0D0D"/>
          <w:sz w:val="22"/>
          <w:szCs w:val="22"/>
        </w:rPr>
        <w:t>Better Cotton Initiative is a non-profit, multistakeholder governance group that promotes better standards in cotton farming and practices across 21 countries.</w:t>
      </w:r>
      <w:r w:rsidR="00777142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My responsibilities here include</w:t>
      </w:r>
      <w:r w:rsidR="00C939BA">
        <w:rPr>
          <w:rFonts w:asciiTheme="majorHAnsi" w:hAnsiTheme="majorHAnsi" w:cstheme="majorHAnsi"/>
          <w:bCs/>
          <w:color w:val="0D0D0D"/>
          <w:sz w:val="22"/>
          <w:szCs w:val="22"/>
        </w:rPr>
        <w:t>d</w:t>
      </w:r>
      <w:r w:rsidR="00777142">
        <w:rPr>
          <w:rFonts w:asciiTheme="majorHAnsi" w:hAnsiTheme="majorHAnsi" w:cstheme="majorHAnsi"/>
          <w:bCs/>
          <w:color w:val="0D0D0D"/>
          <w:sz w:val="22"/>
          <w:szCs w:val="22"/>
        </w:rPr>
        <w:t>:</w:t>
      </w:r>
    </w:p>
    <w:p w14:paraId="332C9151" w14:textId="3AE09046" w:rsidR="00057306" w:rsidRDefault="00057306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057306">
        <w:rPr>
          <w:rFonts w:asciiTheme="majorHAnsi" w:hAnsiTheme="majorHAnsi" w:cstheme="majorHAnsi"/>
          <w:bCs/>
          <w:color w:val="0D0D0D"/>
          <w:sz w:val="22"/>
          <w:szCs w:val="22"/>
        </w:rPr>
        <w:t>Evaluating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whether</w:t>
      </w:r>
      <w:r w:rsidRPr="00057306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t>implementing partners associated with BCI are conforming appropriately to the BCI standards and criteria – as they relate to growing and selling sustainable cotton.</w:t>
      </w:r>
    </w:p>
    <w:p w14:paraId="540BA193" w14:textId="5532B165" w:rsidR="001C1EA7" w:rsidRDefault="001C1EA7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Involved in ensuring the reliability better cotton in the textile supply chain in India, including BCI’s new traceability initiative</w:t>
      </w:r>
    </w:p>
    <w:p w14:paraId="6880A79C" w14:textId="7667BAE5" w:rsidR="00057306" w:rsidRDefault="00057306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Involved in updating the standards and criteria used by BCI as per the changing environmental, social and political context.</w:t>
      </w:r>
    </w:p>
    <w:p w14:paraId="0479D3F6" w14:textId="73E8891A" w:rsidR="00057306" w:rsidRDefault="00057306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Involved in </w:t>
      </w:r>
      <w:r w:rsidR="00DE4871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preparing and finalizing </w:t>
      </w:r>
      <w:r>
        <w:rPr>
          <w:rFonts w:asciiTheme="majorHAnsi" w:hAnsiTheme="majorHAnsi" w:cstheme="majorHAnsi"/>
          <w:bCs/>
          <w:color w:val="0D0D0D"/>
          <w:sz w:val="22"/>
          <w:szCs w:val="22"/>
        </w:rPr>
        <w:t>capacity bui</w:t>
      </w:r>
      <w:r w:rsidR="00DE4871">
        <w:rPr>
          <w:rFonts w:asciiTheme="majorHAnsi" w:hAnsiTheme="majorHAnsi" w:cstheme="majorHAnsi"/>
          <w:bCs/>
          <w:color w:val="0D0D0D"/>
          <w:sz w:val="22"/>
          <w:szCs w:val="22"/>
        </w:rPr>
        <w:t>lding material related to the impact of climate change on the cotton sector (mitigation) and the impact of the cotton sector on climate change (adaptation)</w:t>
      </w:r>
      <w:r w:rsidR="001C1EA7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– Including regenerative agriculture</w:t>
      </w:r>
    </w:p>
    <w:p w14:paraId="1E57D738" w14:textId="5A3E693E" w:rsidR="00DE4871" w:rsidRDefault="00DE4871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Evaluating the government schemes and policies </w:t>
      </w:r>
      <w:r w:rsidR="000F6FFD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related to agriculture in India to identify gaps and prepare responses. </w:t>
      </w:r>
    </w:p>
    <w:p w14:paraId="3D71959B" w14:textId="55B1F9AA" w:rsidR="00DE4871" w:rsidRPr="00057306" w:rsidRDefault="00DE4871" w:rsidP="00057306">
      <w:pPr>
        <w:pStyle w:val="BodyTex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Was involved in relationship management with implementing partner, knowledge partners and local partners regarding their conformity with the BCI standards and the various activities undertaken by BCI.</w:t>
      </w:r>
    </w:p>
    <w:p w14:paraId="45D7E165" w14:textId="77777777" w:rsidR="00C410AE" w:rsidRDefault="00C410AE" w:rsidP="00C410AE">
      <w:pPr>
        <w:pStyle w:val="BodyText"/>
        <w:spacing w:after="0"/>
        <w:ind w:left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480BB667" w14:textId="279D9122" w:rsidR="00FF0062" w:rsidRPr="006747AC" w:rsidRDefault="00B371D6" w:rsidP="00093DE0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3Wayste SAS</w:t>
      </w:r>
      <w:r w:rsidR="00FF0062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, </w:t>
      </w:r>
      <w:r w:rsidR="00D964A3" w:rsidRPr="006747AC">
        <w:rPr>
          <w:rFonts w:asciiTheme="majorHAnsi" w:hAnsiTheme="majorHAnsi" w:cstheme="majorHAnsi"/>
          <w:b/>
          <w:color w:val="0D0D0D"/>
          <w:sz w:val="22"/>
          <w:szCs w:val="22"/>
        </w:rPr>
        <w:t>France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, </w:t>
      </w:r>
      <w:r w:rsidR="005B6C3C">
        <w:rPr>
          <w:rFonts w:asciiTheme="majorHAnsi" w:hAnsiTheme="majorHAnsi" w:cstheme="majorHAnsi"/>
          <w:b/>
          <w:color w:val="0D0D0D"/>
          <w:sz w:val="22"/>
          <w:szCs w:val="22"/>
        </w:rPr>
        <w:t>Technical Consultant</w:t>
      </w:r>
      <w:r w:rsidR="002733A4">
        <w:rPr>
          <w:rFonts w:asciiTheme="majorHAnsi" w:hAnsiTheme="majorHAnsi" w:cstheme="majorHAnsi"/>
          <w:b/>
          <w:color w:val="0D0D0D"/>
          <w:sz w:val="22"/>
          <w:szCs w:val="22"/>
        </w:rPr>
        <w:t>/Project Manager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, </w:t>
      </w:r>
      <w:r w:rsidR="00D964A3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Bangalore Project, </w:t>
      </w:r>
      <w:r w:rsidR="002E2623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July </w:t>
      </w:r>
      <w:r w:rsidR="00FF0062" w:rsidRPr="006747AC">
        <w:rPr>
          <w:rFonts w:asciiTheme="majorHAnsi" w:hAnsiTheme="majorHAnsi" w:cstheme="majorHAnsi"/>
          <w:b/>
          <w:color w:val="0D0D0D"/>
          <w:sz w:val="22"/>
          <w:szCs w:val="22"/>
        </w:rPr>
        <w:t>201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7</w:t>
      </w:r>
      <w:r w:rsidR="00FF0062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– </w:t>
      </w:r>
      <w:r w:rsidR="00C410AE">
        <w:rPr>
          <w:rFonts w:asciiTheme="majorHAnsi" w:hAnsiTheme="majorHAnsi" w:cstheme="majorHAnsi"/>
          <w:b/>
          <w:color w:val="0D0D0D"/>
          <w:sz w:val="22"/>
          <w:szCs w:val="22"/>
        </w:rPr>
        <w:t>May 2021</w:t>
      </w:r>
    </w:p>
    <w:p w14:paraId="162E4D03" w14:textId="39C6E004" w:rsidR="000B288B" w:rsidRPr="006747AC" w:rsidRDefault="00B371D6" w:rsidP="00FD7AC6">
      <w:pPr>
        <w:pStyle w:val="BodyText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3Wayste SAS is an innovative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>technology-based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waste management company that specializes in precision waste sorting technologies. The company is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>implementing a</w:t>
      </w:r>
      <w:r w:rsidR="00D964A3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state-of-art integrated waste management facility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>in South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Bangalore </w:t>
      </w:r>
      <w:r w:rsidR="00D964A3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with an installed capacity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>of 500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ton </w:t>
      </w:r>
      <w:r w:rsidR="00D964A3" w:rsidRPr="006747AC">
        <w:rPr>
          <w:rFonts w:asciiTheme="majorHAnsi" w:hAnsiTheme="majorHAnsi" w:cstheme="majorHAnsi"/>
          <w:color w:val="0D0D0D"/>
          <w:sz w:val="22"/>
          <w:szCs w:val="22"/>
        </w:rPr>
        <w:t>per day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. </w:t>
      </w:r>
      <w:r w:rsidR="00D964A3" w:rsidRPr="006747AC">
        <w:rPr>
          <w:rFonts w:asciiTheme="majorHAnsi" w:hAnsiTheme="majorHAnsi" w:cstheme="majorHAnsi"/>
          <w:color w:val="0D0D0D"/>
          <w:sz w:val="22"/>
          <w:szCs w:val="22"/>
        </w:rPr>
        <w:t>R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>esponsibilities include</w:t>
      </w:r>
      <w:r w:rsidR="00C939BA">
        <w:rPr>
          <w:rFonts w:asciiTheme="majorHAnsi" w:hAnsiTheme="majorHAnsi" w:cstheme="majorHAnsi"/>
          <w:color w:val="0D0D0D"/>
          <w:sz w:val="22"/>
          <w:szCs w:val="22"/>
        </w:rPr>
        <w:t>d</w:t>
      </w:r>
      <w:r w:rsidR="00FD7AC6" w:rsidRPr="006747AC">
        <w:rPr>
          <w:rFonts w:asciiTheme="majorHAnsi" w:hAnsiTheme="majorHAnsi" w:cstheme="majorHAnsi"/>
          <w:color w:val="0D0D0D"/>
          <w:sz w:val="22"/>
          <w:szCs w:val="22"/>
        </w:rPr>
        <w:t>:</w:t>
      </w:r>
    </w:p>
    <w:p w14:paraId="3CCC33A3" w14:textId="0F65C377" w:rsidR="00FF0062" w:rsidRPr="006747AC" w:rsidRDefault="00FD7AC6" w:rsidP="00FD7AC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Performing techno-economic feasibility</w:t>
      </w:r>
      <w:r w:rsidR="00B371D6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study funded 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by </w:t>
      </w:r>
      <w:r w:rsidR="00B371D6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the French Government.</w:t>
      </w:r>
    </w:p>
    <w:p w14:paraId="19868A4D" w14:textId="1EA63820" w:rsidR="00B371D6" w:rsidRDefault="00B371D6" w:rsidP="00FD7AC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Collaborating with personnel from TERI to perform a Social Impact Assessment </w:t>
      </w:r>
    </w:p>
    <w:p w14:paraId="69C3E662" w14:textId="28B73722" w:rsidR="0011689E" w:rsidRPr="006747AC" w:rsidRDefault="0011689E" w:rsidP="00FD7AC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>Sustainability reporting for the company and project using the techniques outlined in the GRI and other sustainability standards</w:t>
      </w:r>
    </w:p>
    <w:p w14:paraId="0445F759" w14:textId="31805D9C" w:rsidR="00B371D6" w:rsidRPr="006747AC" w:rsidRDefault="00B371D6" w:rsidP="00FD7AC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Working with world renowned technological consultants - Ramboll to facilitate independent technological and financial due diligence.</w:t>
      </w:r>
    </w:p>
    <w:p w14:paraId="0AE616C8" w14:textId="2493F4C1" w:rsidR="00B371D6" w:rsidRPr="006747AC" w:rsidRDefault="00B371D6" w:rsidP="00FD7AC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Working with </w:t>
      </w:r>
      <w:proofErr w:type="spellStart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Infraco</w:t>
      </w:r>
      <w:proofErr w:type="spellEnd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Asia (A donor funded infrastructure financing organization) to facilitate legal and financial due diligence.</w:t>
      </w:r>
    </w:p>
    <w:p w14:paraId="1AD5FD48" w14:textId="2BBCB43A" w:rsidR="00B371D6" w:rsidRPr="006747AC" w:rsidRDefault="00B371D6" w:rsidP="00B371D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Providing market intelligence on possible collaborators (especially private bulk waste generators) and relevant regulatory changes in the sector</w:t>
      </w:r>
    </w:p>
    <w:p w14:paraId="3316AF8B" w14:textId="3432D974" w:rsidR="001A5B65" w:rsidRPr="006747AC" w:rsidRDefault="001A5B65" w:rsidP="00B371D6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Facilitating </w:t>
      </w:r>
      <w:r w:rsidR="006B2D17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application for </w:t>
      </w: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viability gap funding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 w:rsidR="009203F1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including preparation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of </w:t>
      </w:r>
      <w:r w:rsidR="006B2D17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detailed project 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report </w:t>
      </w:r>
      <w:r w:rsidR="006B2D17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and 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liaising</w:t>
      </w:r>
      <w:r w:rsidR="006B2D17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 w:rsidR="009203F1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with government</w:t>
      </w:r>
      <w:r w:rsidR="006B2D17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officials.</w:t>
      </w:r>
    </w:p>
    <w:p w14:paraId="5A6BFD65" w14:textId="38233FE2" w:rsidR="00FD7AC6" w:rsidRDefault="00E32B5D" w:rsidP="00093DE0">
      <w:pPr>
        <w:pStyle w:val="BodyText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lastRenderedPageBreak/>
        <w:t xml:space="preserve">facilitating discussions and negotiations on the concession agreement and power purchase agreement </w:t>
      </w:r>
    </w:p>
    <w:p w14:paraId="3B5695EC" w14:textId="77777777" w:rsidR="00093DE0" w:rsidRPr="00093DE0" w:rsidRDefault="00093DE0" w:rsidP="00093DE0">
      <w:pPr>
        <w:pStyle w:val="BodyText"/>
        <w:spacing w:after="0"/>
        <w:ind w:left="180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</w:p>
    <w:p w14:paraId="2086485C" w14:textId="511B79F6" w:rsidR="007A19CA" w:rsidRPr="006747AC" w:rsidRDefault="00DC69CE" w:rsidP="00093DE0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Centre for Science and Environment, </w:t>
      </w:r>
      <w:r w:rsidR="00042FC8">
        <w:rPr>
          <w:rFonts w:asciiTheme="majorHAnsi" w:hAnsiTheme="majorHAnsi" w:cstheme="majorHAnsi"/>
          <w:b/>
          <w:color w:val="0D0D0D"/>
          <w:sz w:val="22"/>
          <w:szCs w:val="22"/>
        </w:rPr>
        <w:t>Senior Researcher</w:t>
      </w:r>
      <w:r w:rsidR="005B6C3C">
        <w:rPr>
          <w:rFonts w:asciiTheme="majorHAnsi" w:hAnsiTheme="majorHAnsi" w:cstheme="majorHAnsi"/>
          <w:b/>
          <w:color w:val="0D0D0D"/>
          <w:sz w:val="22"/>
          <w:szCs w:val="22"/>
        </w:rPr>
        <w:t>,</w:t>
      </w: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Climate Change</w:t>
      </w:r>
      <w:r w:rsidR="009203F1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, </w:t>
      </w:r>
      <w:r w:rsidR="002E2623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January </w:t>
      </w:r>
      <w:r w:rsidR="009203F1" w:rsidRPr="006747AC">
        <w:rPr>
          <w:rFonts w:asciiTheme="majorHAnsi" w:hAnsiTheme="majorHAnsi" w:cstheme="majorHAnsi"/>
          <w:b/>
          <w:color w:val="0D0D0D"/>
          <w:sz w:val="22"/>
          <w:szCs w:val="22"/>
        </w:rPr>
        <w:t>2015</w:t>
      </w:r>
      <w:r w:rsidR="00632484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–</w:t>
      </w:r>
      <w:r w:rsidR="002E2623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June </w:t>
      </w:r>
      <w:r w:rsidR="00CC7A8E" w:rsidRPr="006747AC">
        <w:rPr>
          <w:rFonts w:asciiTheme="majorHAnsi" w:hAnsiTheme="majorHAnsi" w:cstheme="majorHAnsi"/>
          <w:b/>
          <w:color w:val="0D0D0D"/>
          <w:sz w:val="22"/>
          <w:szCs w:val="22"/>
        </w:rPr>
        <w:t>2017</w:t>
      </w:r>
    </w:p>
    <w:p w14:paraId="5A92C318" w14:textId="0ADF1DDC" w:rsidR="00DC69CE" w:rsidRPr="006747AC" w:rsidRDefault="00D964A3" w:rsidP="00DC69CE">
      <w:pPr>
        <w:pStyle w:val="BodyText"/>
        <w:numPr>
          <w:ilvl w:val="1"/>
          <w:numId w:val="1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R</w:t>
      </w:r>
      <w:r w:rsidR="00DC69CE" w:rsidRPr="006747AC">
        <w:rPr>
          <w:rFonts w:asciiTheme="majorHAnsi" w:hAnsiTheme="majorHAnsi" w:cstheme="majorHAnsi"/>
          <w:color w:val="0D0D0D"/>
          <w:sz w:val="22"/>
          <w:szCs w:val="22"/>
        </w:rPr>
        <w:t>e</w:t>
      </w:r>
      <w:r w:rsidR="00280F82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sponsibilities </w:t>
      </w:r>
      <w:r w:rsidR="00DC69CE" w:rsidRPr="006747AC">
        <w:rPr>
          <w:rFonts w:asciiTheme="majorHAnsi" w:hAnsiTheme="majorHAnsi" w:cstheme="majorHAnsi"/>
          <w:color w:val="0D0D0D"/>
          <w:sz w:val="22"/>
          <w:szCs w:val="22"/>
        </w:rPr>
        <w:t>included:</w:t>
      </w:r>
    </w:p>
    <w:p w14:paraId="2237B7B2" w14:textId="47D86F36" w:rsidR="007107BD" w:rsidRDefault="007107BD" w:rsidP="00C01D19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Tracking and reporting on the latest developments on climate change at the national and international level. </w:t>
      </w:r>
    </w:p>
    <w:p w14:paraId="3F26D954" w14:textId="18DE4632" w:rsidR="00E64EDC" w:rsidRPr="006747AC" w:rsidRDefault="00E64EDC" w:rsidP="00C01D19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Advocacy and research on issues related to agriculture insurance in India. Specifically, </w:t>
      </w:r>
      <w:r w:rsidR="00D964A3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focusing </w:t>
      </w: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on the critique and implementation of the Pradhan Mantri </w:t>
      </w:r>
      <w:proofErr w:type="spellStart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Fasal</w:t>
      </w:r>
      <w:proofErr w:type="spellEnd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proofErr w:type="spellStart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Bima</w:t>
      </w:r>
      <w:proofErr w:type="spellEnd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proofErr w:type="spellStart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Yojna</w:t>
      </w:r>
      <w:proofErr w:type="spellEnd"/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. This was part of CSE’s larger initiative to shield vulnerable communities from the worst effects of climate change through policy interventions.</w:t>
      </w:r>
    </w:p>
    <w:p w14:paraId="76CE643F" w14:textId="451BFCCE" w:rsidR="00280F82" w:rsidRPr="006747AC" w:rsidRDefault="00280F82" w:rsidP="00280F82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Working on analysis of State Action Plans on Climate Change (SAPCC) – Including ascertaining the effectiveness of changes to waste management policy </w:t>
      </w:r>
      <w:r w:rsidR="00C93F46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considering </w:t>
      </w: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concerns related to adaptation and mitigation of </w:t>
      </w:r>
      <w:r w:rsidR="00C93F46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the adverse impacts of </w:t>
      </w: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climate change</w:t>
      </w:r>
    </w:p>
    <w:p w14:paraId="1E16879B" w14:textId="6D31D8D2" w:rsidR="00280F82" w:rsidRPr="006747AC" w:rsidRDefault="00E64EDC" w:rsidP="00986702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Advocacy and communication on issues related to sustainable urban development, including waste management. Was involved with CSE’s initiatives to promote segregation in backward cities of India </w:t>
      </w:r>
    </w:p>
    <w:p w14:paraId="0B0784D9" w14:textId="0A8AC136" w:rsidR="00986702" w:rsidRPr="006747AC" w:rsidRDefault="00781F3B" w:rsidP="00986702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Research on the current status and potential of the renewable sector</w:t>
      </w:r>
      <w:r w:rsidR="00416529"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(including waste to energy)</w:t>
      </w: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in India. The research included in-depth analysis of the technological (grid augmentation) market and financial instruments needed to ensure a speedy and sustainable ramp up of India’s renewable energy capacities. </w:t>
      </w:r>
    </w:p>
    <w:p w14:paraId="4A110C09" w14:textId="2E82C33A" w:rsidR="00986702" w:rsidRPr="006747AC" w:rsidRDefault="00986702" w:rsidP="00986702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bCs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Cs/>
          <w:color w:val="0D0D0D"/>
          <w:sz w:val="22"/>
          <w:szCs w:val="22"/>
        </w:rPr>
        <w:t>Made significant contributions to CSE’s campaign for the HFC amendment to the Montreal Protocol. This involved research and advocacy on issues relating to HFC management and cooling action plans.</w:t>
      </w:r>
      <w:r w:rsidR="007107BD">
        <w:rPr>
          <w:rFonts w:asciiTheme="majorHAnsi" w:hAnsiTheme="majorHAnsi" w:cstheme="majorHAnsi"/>
          <w:bCs/>
          <w:color w:val="0D0D0D"/>
          <w:sz w:val="22"/>
          <w:szCs w:val="22"/>
        </w:rPr>
        <w:t xml:space="preserve"> </w:t>
      </w:r>
      <w:r w:rsidR="007107BD" w:rsidRPr="007107BD">
        <w:rPr>
          <w:rFonts w:asciiTheme="majorHAnsi" w:hAnsiTheme="majorHAnsi" w:cstheme="majorHAnsi"/>
          <w:b/>
          <w:color w:val="0D0D0D"/>
          <w:sz w:val="22"/>
          <w:szCs w:val="22"/>
        </w:rPr>
        <w:t>This included analyses of emissions projections for various phase down scenarios. This included extensive statistical and mathematical analyses.</w:t>
      </w:r>
    </w:p>
    <w:p w14:paraId="6F003394" w14:textId="77777777" w:rsidR="006747AC" w:rsidRPr="006747AC" w:rsidRDefault="006747AC" w:rsidP="00093DE0">
      <w:pPr>
        <w:pStyle w:val="BodyText"/>
        <w:spacing w:after="0"/>
        <w:ind w:left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</w:p>
    <w:p w14:paraId="434879F6" w14:textId="440CA824" w:rsidR="00D157C3" w:rsidRPr="006747AC" w:rsidRDefault="00D157C3" w:rsidP="007A19CA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British High Commission/Department for International Development (DFID), Prosperity Fund,</w:t>
      </w:r>
      <w:r w:rsidR="007A19CA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 </w:t>
      </w:r>
      <w:r w:rsidR="002E2623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August, </w:t>
      </w:r>
      <w:r w:rsidR="007659BB" w:rsidRPr="006747AC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2013- </w:t>
      </w:r>
      <w:r w:rsidR="002E2623">
        <w:rPr>
          <w:rFonts w:asciiTheme="majorHAnsi" w:hAnsiTheme="majorHAnsi" w:cstheme="majorHAnsi"/>
          <w:b/>
          <w:color w:val="0D0D0D"/>
          <w:sz w:val="22"/>
          <w:szCs w:val="22"/>
        </w:rPr>
        <w:t xml:space="preserve">November, </w:t>
      </w:r>
      <w:r w:rsidR="007659BB" w:rsidRPr="006747AC">
        <w:rPr>
          <w:rFonts w:asciiTheme="majorHAnsi" w:hAnsiTheme="majorHAnsi" w:cstheme="majorHAnsi"/>
          <w:b/>
          <w:color w:val="0D0D0D"/>
          <w:sz w:val="22"/>
          <w:szCs w:val="22"/>
        </w:rPr>
        <w:t>2014</w:t>
      </w:r>
    </w:p>
    <w:p w14:paraId="4E7BA28A" w14:textId="52D6F2FE" w:rsidR="00D157C3" w:rsidRPr="006747AC" w:rsidRDefault="00D964A3" w:rsidP="00DC69CE">
      <w:pPr>
        <w:pStyle w:val="BodyText"/>
        <w:numPr>
          <w:ilvl w:val="1"/>
          <w:numId w:val="1"/>
        </w:numPr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R</w:t>
      </w:r>
      <w:r w:rsidR="00D157C3" w:rsidRPr="006747AC">
        <w:rPr>
          <w:rFonts w:asciiTheme="majorHAnsi" w:hAnsiTheme="majorHAnsi" w:cstheme="majorHAnsi"/>
          <w:color w:val="0D0D0D"/>
          <w:sz w:val="22"/>
          <w:szCs w:val="22"/>
        </w:rPr>
        <w:t>esponsibilities include</w:t>
      </w:r>
      <w:r w:rsidR="00DC69CE" w:rsidRPr="006747AC">
        <w:rPr>
          <w:rFonts w:asciiTheme="majorHAnsi" w:hAnsiTheme="majorHAnsi" w:cstheme="majorHAnsi"/>
          <w:color w:val="0D0D0D"/>
          <w:sz w:val="22"/>
          <w:szCs w:val="22"/>
        </w:rPr>
        <w:t>d</w:t>
      </w:r>
      <w:r w:rsidR="0007597C" w:rsidRPr="006747AC">
        <w:rPr>
          <w:rFonts w:asciiTheme="majorHAnsi" w:hAnsiTheme="majorHAnsi" w:cstheme="majorHAnsi"/>
          <w:color w:val="0D0D0D"/>
          <w:sz w:val="22"/>
          <w:szCs w:val="22"/>
        </w:rPr>
        <w:t>:</w:t>
      </w:r>
    </w:p>
    <w:p w14:paraId="78176F9B" w14:textId="245B7EA7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Aiding, proposal and log-frame development</w:t>
      </w:r>
      <w:r w:rsidR="00D964A3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for 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>projects related to climate change and energy security</w:t>
      </w:r>
    </w:p>
    <w:p w14:paraId="36218798" w14:textId="77777777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Review and appraisal of project activities </w:t>
      </w:r>
      <w:r w:rsidR="005403B1" w:rsidRPr="006747AC">
        <w:rPr>
          <w:rFonts w:asciiTheme="majorHAnsi" w:hAnsiTheme="majorHAnsi" w:cstheme="majorHAnsi"/>
          <w:color w:val="0D0D0D"/>
          <w:sz w:val="22"/>
          <w:szCs w:val="22"/>
        </w:rPr>
        <w:t>/deliverables</w:t>
      </w:r>
    </w:p>
    <w:p w14:paraId="3F5B967B" w14:textId="77777777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Monitoring and evaluation</w:t>
      </w:r>
      <w:r w:rsidR="0091081C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>of completed projects</w:t>
      </w:r>
      <w:r w:rsidR="0091081C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under the framework specified under the OECD DAC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(Development Assistance Committee)</w:t>
      </w:r>
      <w:r w:rsidR="0091081C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guidelines</w:t>
      </w:r>
    </w:p>
    <w:p w14:paraId="37A8B25E" w14:textId="42666DA3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Liaising with implementers and </w:t>
      </w:r>
      <w:r w:rsidR="003203A1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UK/Indian government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stakeholders including 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>Ministry of new and renewable energy (MNRE) officials, partners from NGOs, Private consultancy firms and international organizations like the IEA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about progress of project activities</w:t>
      </w:r>
    </w:p>
    <w:p w14:paraId="5AC1E76A" w14:textId="6CE8494A" w:rsidR="009203F1" w:rsidRPr="00093DE0" w:rsidRDefault="005F35BA" w:rsidP="00093DE0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Financial management</w:t>
      </w:r>
      <w:r w:rsidR="0091081C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of</w:t>
      </w:r>
      <w:r w:rsidR="00D157C3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the Prosperity Fund in India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, 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including 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budget negotiations and monthly/annual planning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>/monitoring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of expenditure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of projects</w:t>
      </w:r>
      <w:r w:rsidR="009203F1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etc. </w:t>
      </w:r>
    </w:p>
    <w:p w14:paraId="7FE6157E" w14:textId="0F450E7B" w:rsidR="00CE7F26" w:rsidRPr="00093DE0" w:rsidRDefault="009203F1" w:rsidP="00093DE0">
      <w:pPr>
        <w:pStyle w:val="BodyText"/>
        <w:tabs>
          <w:tab w:val="left" w:pos="1067"/>
        </w:tabs>
        <w:spacing w:after="0"/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  <w:r w:rsidRPr="00093DE0">
        <w:rPr>
          <w:rFonts w:asciiTheme="majorHAnsi" w:hAnsiTheme="majorHAnsi" w:cstheme="majorHAnsi"/>
          <w:b/>
          <w:color w:val="00B0F0"/>
          <w:sz w:val="26"/>
          <w:szCs w:val="26"/>
        </w:rPr>
        <w:t xml:space="preserve">Short term Assignments / Internships </w:t>
      </w:r>
      <w:r w:rsidR="00DB4817" w:rsidRPr="00093DE0">
        <w:rPr>
          <w:rFonts w:asciiTheme="majorHAnsi" w:hAnsiTheme="majorHAnsi" w:cstheme="majorHAnsi"/>
          <w:b/>
          <w:color w:val="00B0F0"/>
          <w:sz w:val="26"/>
          <w:szCs w:val="26"/>
        </w:rPr>
        <w:t xml:space="preserve"> </w:t>
      </w:r>
      <w:r w:rsidR="00D157C3" w:rsidRPr="00093DE0">
        <w:rPr>
          <w:rFonts w:asciiTheme="majorHAnsi" w:hAnsiTheme="majorHAnsi" w:cstheme="majorHAnsi"/>
          <w:b/>
          <w:color w:val="00B0F0"/>
          <w:sz w:val="26"/>
          <w:szCs w:val="26"/>
        </w:rPr>
        <w:t xml:space="preserve"> </w:t>
      </w:r>
    </w:p>
    <w:p w14:paraId="38D385AD" w14:textId="5BD7B1B0" w:rsidR="00D157C3" w:rsidRPr="006747AC" w:rsidRDefault="00D157C3" w:rsidP="007A19CA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lastRenderedPageBreak/>
        <w:t>ICLEI – Local Governments for Sustainability, 2013</w:t>
      </w:r>
    </w:p>
    <w:p w14:paraId="25BBFDEA" w14:textId="3C74CA41" w:rsidR="00D157C3" w:rsidRPr="006747AC" w:rsidRDefault="009203F1" w:rsidP="00004D3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color w:val="0D0D0D"/>
        </w:rPr>
      </w:pPr>
      <w:r w:rsidRPr="006747AC">
        <w:rPr>
          <w:rFonts w:asciiTheme="majorHAnsi" w:eastAsia="Arial" w:hAnsiTheme="majorHAnsi" w:cstheme="majorHAnsi"/>
          <w:color w:val="0D0D0D"/>
        </w:rPr>
        <w:t>R</w:t>
      </w:r>
      <w:r w:rsidR="00D157C3" w:rsidRPr="006747AC">
        <w:rPr>
          <w:rFonts w:asciiTheme="majorHAnsi" w:eastAsia="Arial" w:hAnsiTheme="majorHAnsi" w:cstheme="majorHAnsi"/>
          <w:color w:val="0D0D0D"/>
        </w:rPr>
        <w:t>esponsibilities included:</w:t>
      </w:r>
    </w:p>
    <w:p w14:paraId="3808B919" w14:textId="331BCE1E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b/>
          <w:i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Conducting in-depth policy research (through extensive stakeholder outreach) </w:t>
      </w:r>
      <w:r w:rsidR="00DB4817" w:rsidRPr="006747AC">
        <w:rPr>
          <w:rFonts w:asciiTheme="majorHAnsi" w:hAnsiTheme="majorHAnsi" w:cstheme="majorHAnsi"/>
          <w:color w:val="0D0D0D"/>
          <w:sz w:val="22"/>
          <w:szCs w:val="22"/>
        </w:rPr>
        <w:t>into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poli</w:t>
      </w:r>
      <w:r w:rsidR="005403B1" w:rsidRPr="006747AC">
        <w:rPr>
          <w:rFonts w:asciiTheme="majorHAnsi" w:hAnsiTheme="majorHAnsi" w:cstheme="majorHAnsi"/>
          <w:color w:val="0D0D0D"/>
          <w:sz w:val="22"/>
          <w:szCs w:val="22"/>
        </w:rPr>
        <w:t>cy and institutional support for renewable energy and energy efficiency in urban areas</w:t>
      </w:r>
      <w:r w:rsidR="00145A24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>for a</w:t>
      </w:r>
      <w:r w:rsidR="003203A1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project on Low Carbon Development Strategies. </w:t>
      </w:r>
    </w:p>
    <w:p w14:paraId="41B1CBAC" w14:textId="4CBF176F" w:rsidR="00D157C3" w:rsidRPr="006747AC" w:rsidRDefault="00D157C3" w:rsidP="00D157C3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b/>
          <w:i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Performing a climate change vulnerability assessment for the Government of Delhi, as part of Delhi’s State Action Plan for Climate Change. </w:t>
      </w:r>
    </w:p>
    <w:p w14:paraId="5CDF6C49" w14:textId="77777777" w:rsidR="00CE7F26" w:rsidRPr="006747AC" w:rsidRDefault="00D157C3" w:rsidP="00004D3A">
      <w:pPr>
        <w:pStyle w:val="BodyText"/>
        <w:numPr>
          <w:ilvl w:val="2"/>
          <w:numId w:val="1"/>
        </w:numPr>
        <w:tabs>
          <w:tab w:val="clear" w:pos="2160"/>
        </w:tabs>
        <w:spacing w:after="0"/>
        <w:ind w:left="1800"/>
        <w:jc w:val="both"/>
        <w:rPr>
          <w:rFonts w:asciiTheme="majorHAnsi" w:hAnsiTheme="majorHAnsi" w:cstheme="majorHAnsi"/>
          <w:b/>
          <w:i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Ensuring effective implementation of the Rockefeller Foundation funded ACCCRN</w:t>
      </w:r>
      <w:r w:rsidR="00145A24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(Asian Cities Climate Change Resilience Network)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project on climate change adaptation</w:t>
      </w:r>
      <w:r w:rsidR="005F35BA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</w:p>
    <w:p w14:paraId="024A0E74" w14:textId="77777777" w:rsidR="00D157C3" w:rsidRPr="006747AC" w:rsidRDefault="005F35BA" w:rsidP="00CE7F26">
      <w:pPr>
        <w:pStyle w:val="BodyText"/>
        <w:spacing w:after="0"/>
        <w:ind w:left="1800"/>
        <w:jc w:val="both"/>
        <w:rPr>
          <w:rFonts w:asciiTheme="majorHAnsi" w:hAnsiTheme="majorHAnsi" w:cstheme="majorHAnsi"/>
          <w:b/>
          <w:i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</w:p>
    <w:p w14:paraId="6E193B20" w14:textId="59F2E28D" w:rsidR="00D157C3" w:rsidRPr="006747AC" w:rsidRDefault="00D157C3" w:rsidP="007A19CA">
      <w:pPr>
        <w:pStyle w:val="BodyText"/>
        <w:spacing w:after="0"/>
        <w:jc w:val="both"/>
        <w:rPr>
          <w:rFonts w:asciiTheme="majorHAnsi" w:hAnsiTheme="majorHAnsi" w:cstheme="majorHAnsi"/>
          <w:b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b/>
          <w:color w:val="0D0D0D"/>
          <w:sz w:val="22"/>
          <w:szCs w:val="22"/>
        </w:rPr>
        <w:t>UNDP/GEF/Ministry of Steel – Project Management Cell for their “Removal of Barriers to Energy Efficiency in the Steel Re-rolling Mills Sector in India” project, 2012</w:t>
      </w:r>
    </w:p>
    <w:p w14:paraId="58FE234D" w14:textId="188042D4" w:rsidR="00D157C3" w:rsidRPr="006747AC" w:rsidRDefault="009203F1" w:rsidP="00004D3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color w:val="0D0D0D"/>
        </w:rPr>
      </w:pPr>
      <w:r w:rsidRPr="006747AC">
        <w:rPr>
          <w:rFonts w:asciiTheme="majorHAnsi" w:eastAsia="Arial" w:hAnsiTheme="majorHAnsi" w:cstheme="majorHAnsi"/>
          <w:color w:val="0D0D0D"/>
        </w:rPr>
        <w:t>R</w:t>
      </w:r>
      <w:r w:rsidR="00D157C3" w:rsidRPr="006747AC">
        <w:rPr>
          <w:rFonts w:asciiTheme="majorHAnsi" w:eastAsia="Arial" w:hAnsiTheme="majorHAnsi" w:cstheme="majorHAnsi"/>
          <w:color w:val="0D0D0D"/>
        </w:rPr>
        <w:t>esponsibilities included:</w:t>
      </w:r>
    </w:p>
    <w:p w14:paraId="289D284D" w14:textId="77777777" w:rsidR="00D157C3" w:rsidRPr="006747AC" w:rsidRDefault="00D157C3" w:rsidP="00461698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Performing a</w:t>
      </w:r>
      <w:r w:rsidR="003203A1" w:rsidRPr="006747AC">
        <w:rPr>
          <w:rFonts w:asciiTheme="majorHAnsi" w:hAnsiTheme="majorHAnsi" w:cstheme="majorHAnsi"/>
          <w:color w:val="0D0D0D"/>
          <w:sz w:val="22"/>
          <w:szCs w:val="22"/>
        </w:rPr>
        <w:t>n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economic and environmental analysis of project benefits</w:t>
      </w:r>
    </w:p>
    <w:p w14:paraId="301FD7F5" w14:textId="77777777" w:rsidR="00145A24" w:rsidRPr="006747AC" w:rsidRDefault="00145A24" w:rsidP="00461698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Designing an Automated Feasibility Assessment tool for owners of existing steel re-rolling mills in need of energy efficiency interventions</w:t>
      </w:r>
    </w:p>
    <w:p w14:paraId="50AC9E81" w14:textId="77777777" w:rsidR="00D157C3" w:rsidRPr="006747AC" w:rsidRDefault="00D157C3" w:rsidP="00461698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Conducting a Life Cycle Analysis of steel re-rolling mill</w:t>
      </w:r>
      <w:r w:rsidR="00145A24" w:rsidRPr="006747AC">
        <w:rPr>
          <w:rFonts w:asciiTheme="majorHAnsi" w:hAnsiTheme="majorHAnsi" w:cstheme="majorHAnsi"/>
          <w:color w:val="0D0D0D"/>
          <w:sz w:val="22"/>
          <w:szCs w:val="22"/>
        </w:rPr>
        <w:t>s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using biomass power and furnace oil to compare life cycle emissions and resource use.</w:t>
      </w:r>
    </w:p>
    <w:p w14:paraId="697850ED" w14:textId="5E41007A" w:rsidR="00CE7F26" w:rsidRPr="00093DE0" w:rsidRDefault="00D157C3" w:rsidP="00093DE0">
      <w:pPr>
        <w:pStyle w:val="BodyText"/>
        <w:numPr>
          <w:ilvl w:val="2"/>
          <w:numId w:val="1"/>
        </w:numPr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6747AC">
        <w:rPr>
          <w:rFonts w:asciiTheme="majorHAnsi" w:hAnsiTheme="majorHAnsi" w:cstheme="majorHAnsi"/>
          <w:color w:val="0D0D0D"/>
          <w:sz w:val="22"/>
          <w:szCs w:val="22"/>
        </w:rPr>
        <w:t>Conducting interviews</w:t>
      </w:r>
      <w:r w:rsidR="005F35BA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 </w:t>
      </w:r>
      <w:r w:rsidR="006747AC"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of </w:t>
      </w:r>
      <w:r w:rsidRPr="006747AC">
        <w:rPr>
          <w:rFonts w:asciiTheme="majorHAnsi" w:hAnsiTheme="majorHAnsi" w:cstheme="majorHAnsi"/>
          <w:color w:val="0D0D0D"/>
          <w:sz w:val="22"/>
          <w:szCs w:val="22"/>
        </w:rPr>
        <w:t xml:space="preserve">equipment manufacturers and plant owners as part of the Life Cycle Assessment, automated feasibility tool and GHG inventory. </w:t>
      </w:r>
    </w:p>
    <w:p w14:paraId="2388029A" w14:textId="77777777" w:rsidR="00D157C3" w:rsidRPr="006747AC" w:rsidRDefault="00D157C3" w:rsidP="002A7C69">
      <w:pPr>
        <w:jc w:val="both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6747AC">
        <w:rPr>
          <w:rFonts w:asciiTheme="majorHAnsi" w:hAnsiTheme="majorHAnsi" w:cstheme="majorHAnsi"/>
          <w:b/>
          <w:color w:val="00B0F0"/>
          <w:sz w:val="28"/>
          <w:szCs w:val="28"/>
        </w:rPr>
        <w:t xml:space="preserve">Education </w:t>
      </w:r>
    </w:p>
    <w:p w14:paraId="3BFDDF28" w14:textId="77777777" w:rsidR="00093DE0" w:rsidRDefault="00D157C3" w:rsidP="00093DE0">
      <w:pPr>
        <w:pStyle w:val="BodyText"/>
        <w:numPr>
          <w:ilvl w:val="0"/>
          <w:numId w:val="2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bookmarkStart w:id="1" w:name="ou8e"/>
      <w:bookmarkStart w:id="2" w:name="jdxt"/>
      <w:bookmarkStart w:id="3" w:name="d-np"/>
      <w:bookmarkStart w:id="4" w:name="oz8y"/>
      <w:bookmarkEnd w:id="1"/>
      <w:bookmarkEnd w:id="2"/>
      <w:bookmarkEnd w:id="3"/>
      <w:bookmarkEnd w:id="4"/>
      <w:r w:rsidRPr="006747AC">
        <w:rPr>
          <w:rFonts w:asciiTheme="majorHAnsi" w:hAnsiTheme="majorHAnsi" w:cstheme="majorHAnsi"/>
          <w:b/>
          <w:sz w:val="22"/>
          <w:szCs w:val="22"/>
        </w:rPr>
        <w:t>Master of Science, Climate Science &amp; Policy, TERI University, New Delhi, 2011-13</w:t>
      </w:r>
      <w:r w:rsidR="00A54408" w:rsidRPr="006747A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D33674" w14:textId="27AFCDCA" w:rsidR="00144240" w:rsidRPr="00341ABA" w:rsidRDefault="00D157C3" w:rsidP="00060319">
      <w:pPr>
        <w:pStyle w:val="BodyText"/>
        <w:numPr>
          <w:ilvl w:val="0"/>
          <w:numId w:val="2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093DE0">
        <w:rPr>
          <w:rFonts w:asciiTheme="majorHAnsi" w:hAnsiTheme="majorHAnsi" w:cstheme="majorHAnsi"/>
          <w:b/>
          <w:sz w:val="22"/>
          <w:szCs w:val="22"/>
        </w:rPr>
        <w:t>Bachelor of Science, Biological Sciences, University of Windsor, Windsor, Canada, 2</w:t>
      </w:r>
      <w:r w:rsidR="005403B1" w:rsidRPr="00093DE0">
        <w:rPr>
          <w:rFonts w:asciiTheme="majorHAnsi" w:hAnsiTheme="majorHAnsi" w:cstheme="majorHAnsi"/>
          <w:b/>
          <w:sz w:val="22"/>
          <w:szCs w:val="22"/>
        </w:rPr>
        <w:t>005-09</w:t>
      </w:r>
    </w:p>
    <w:p w14:paraId="1E7680D9" w14:textId="4339BCBB" w:rsidR="00341ABA" w:rsidRDefault="00341ABA" w:rsidP="00341ABA">
      <w:pPr>
        <w:pStyle w:val="BodyText"/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DFF091C" w14:textId="77777777" w:rsidR="00341ABA" w:rsidRPr="00F85145" w:rsidRDefault="00341ABA" w:rsidP="00341ABA">
      <w:pPr>
        <w:pStyle w:val="BodyText"/>
        <w:spacing w:after="0"/>
        <w:jc w:val="both"/>
        <w:rPr>
          <w:rFonts w:asciiTheme="majorHAnsi" w:hAnsiTheme="majorHAnsi" w:cstheme="majorHAnsi"/>
          <w:color w:val="0D0D0D"/>
          <w:sz w:val="22"/>
          <w:szCs w:val="22"/>
        </w:rPr>
      </w:pPr>
    </w:p>
    <w:sectPr w:rsidR="00341ABA" w:rsidRPr="00F85145" w:rsidSect="00D157C3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A4F"/>
    <w:multiLevelType w:val="hybridMultilevel"/>
    <w:tmpl w:val="66E861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E0E19"/>
    <w:multiLevelType w:val="hybridMultilevel"/>
    <w:tmpl w:val="B6C0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541"/>
    <w:multiLevelType w:val="hybridMultilevel"/>
    <w:tmpl w:val="C63EF238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5512C"/>
    <w:multiLevelType w:val="hybridMultilevel"/>
    <w:tmpl w:val="AB66E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628DE"/>
    <w:multiLevelType w:val="hybridMultilevel"/>
    <w:tmpl w:val="C8B0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80DCD"/>
    <w:multiLevelType w:val="hybridMultilevel"/>
    <w:tmpl w:val="313C3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81378"/>
    <w:multiLevelType w:val="hybridMultilevel"/>
    <w:tmpl w:val="441688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D6ADC"/>
    <w:multiLevelType w:val="hybridMultilevel"/>
    <w:tmpl w:val="D764AE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B27C2"/>
    <w:multiLevelType w:val="hybridMultilevel"/>
    <w:tmpl w:val="036203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F1178"/>
    <w:multiLevelType w:val="hybridMultilevel"/>
    <w:tmpl w:val="3F5AF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E6861"/>
    <w:multiLevelType w:val="hybridMultilevel"/>
    <w:tmpl w:val="5C1644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483170"/>
    <w:multiLevelType w:val="hybridMultilevel"/>
    <w:tmpl w:val="A04C32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B4F35"/>
    <w:multiLevelType w:val="hybridMultilevel"/>
    <w:tmpl w:val="EBA47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93237"/>
    <w:multiLevelType w:val="hybridMultilevel"/>
    <w:tmpl w:val="5CA0FE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C1556B"/>
    <w:multiLevelType w:val="hybridMultilevel"/>
    <w:tmpl w:val="BBAC3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35D8F"/>
    <w:multiLevelType w:val="hybridMultilevel"/>
    <w:tmpl w:val="AE462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57259"/>
    <w:multiLevelType w:val="hybridMultilevel"/>
    <w:tmpl w:val="37B0D0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31568"/>
    <w:multiLevelType w:val="hybridMultilevel"/>
    <w:tmpl w:val="4B8EEB2C"/>
    <w:lvl w:ilvl="0" w:tplc="7B82C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82E55"/>
    <w:multiLevelType w:val="hybridMultilevel"/>
    <w:tmpl w:val="5D46C7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75D37"/>
    <w:multiLevelType w:val="hybridMultilevel"/>
    <w:tmpl w:val="B11050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57547">
    <w:abstractNumId w:val="1"/>
  </w:num>
  <w:num w:numId="2" w16cid:durableId="1594165268">
    <w:abstractNumId w:val="7"/>
  </w:num>
  <w:num w:numId="3" w16cid:durableId="87120727">
    <w:abstractNumId w:val="9"/>
  </w:num>
  <w:num w:numId="4" w16cid:durableId="833031504">
    <w:abstractNumId w:val="2"/>
  </w:num>
  <w:num w:numId="5" w16cid:durableId="211699700">
    <w:abstractNumId w:val="11"/>
  </w:num>
  <w:num w:numId="6" w16cid:durableId="1449858817">
    <w:abstractNumId w:val="17"/>
  </w:num>
  <w:num w:numId="7" w16cid:durableId="1508593379">
    <w:abstractNumId w:val="4"/>
  </w:num>
  <w:num w:numId="8" w16cid:durableId="672532603">
    <w:abstractNumId w:val="12"/>
  </w:num>
  <w:num w:numId="9" w16cid:durableId="150026498">
    <w:abstractNumId w:val="18"/>
  </w:num>
  <w:num w:numId="10" w16cid:durableId="1444962556">
    <w:abstractNumId w:val="6"/>
  </w:num>
  <w:num w:numId="11" w16cid:durableId="898175646">
    <w:abstractNumId w:val="15"/>
  </w:num>
  <w:num w:numId="12" w16cid:durableId="109397987">
    <w:abstractNumId w:val="5"/>
  </w:num>
  <w:num w:numId="13" w16cid:durableId="1784302095">
    <w:abstractNumId w:val="10"/>
  </w:num>
  <w:num w:numId="14" w16cid:durableId="1086613490">
    <w:abstractNumId w:val="14"/>
  </w:num>
  <w:num w:numId="15" w16cid:durableId="1533347326">
    <w:abstractNumId w:val="0"/>
  </w:num>
  <w:num w:numId="16" w16cid:durableId="792941260">
    <w:abstractNumId w:val="8"/>
  </w:num>
  <w:num w:numId="17" w16cid:durableId="1833639753">
    <w:abstractNumId w:val="19"/>
  </w:num>
  <w:num w:numId="18" w16cid:durableId="1406688719">
    <w:abstractNumId w:val="3"/>
  </w:num>
  <w:num w:numId="19" w16cid:durableId="933365055">
    <w:abstractNumId w:val="16"/>
  </w:num>
  <w:num w:numId="20" w16cid:durableId="383914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C3"/>
    <w:rsid w:val="00004D3A"/>
    <w:rsid w:val="000114CF"/>
    <w:rsid w:val="0001653E"/>
    <w:rsid w:val="00042FC8"/>
    <w:rsid w:val="00057306"/>
    <w:rsid w:val="00060319"/>
    <w:rsid w:val="000704FC"/>
    <w:rsid w:val="0007597C"/>
    <w:rsid w:val="00093DE0"/>
    <w:rsid w:val="000B288B"/>
    <w:rsid w:val="000C2541"/>
    <w:rsid w:val="000F6FFD"/>
    <w:rsid w:val="00101E77"/>
    <w:rsid w:val="0011689E"/>
    <w:rsid w:val="00144240"/>
    <w:rsid w:val="00145A24"/>
    <w:rsid w:val="001460DC"/>
    <w:rsid w:val="00167F22"/>
    <w:rsid w:val="0017717F"/>
    <w:rsid w:val="001A5B65"/>
    <w:rsid w:val="001C1EA7"/>
    <w:rsid w:val="001C53B6"/>
    <w:rsid w:val="001E1FD3"/>
    <w:rsid w:val="00200455"/>
    <w:rsid w:val="00215BCA"/>
    <w:rsid w:val="00237295"/>
    <w:rsid w:val="00265F47"/>
    <w:rsid w:val="002733A4"/>
    <w:rsid w:val="00280F82"/>
    <w:rsid w:val="00283168"/>
    <w:rsid w:val="002839A7"/>
    <w:rsid w:val="00286A89"/>
    <w:rsid w:val="00297A5C"/>
    <w:rsid w:val="002A7C69"/>
    <w:rsid w:val="002D2B8E"/>
    <w:rsid w:val="002D2F73"/>
    <w:rsid w:val="002E2623"/>
    <w:rsid w:val="00307CF8"/>
    <w:rsid w:val="003203A1"/>
    <w:rsid w:val="00341ABA"/>
    <w:rsid w:val="003474E8"/>
    <w:rsid w:val="003673D9"/>
    <w:rsid w:val="00413872"/>
    <w:rsid w:val="00416529"/>
    <w:rsid w:val="00461698"/>
    <w:rsid w:val="00497CDB"/>
    <w:rsid w:val="004C2181"/>
    <w:rsid w:val="00531BDD"/>
    <w:rsid w:val="005403B1"/>
    <w:rsid w:val="005500C9"/>
    <w:rsid w:val="005559FA"/>
    <w:rsid w:val="005769D3"/>
    <w:rsid w:val="00586AC4"/>
    <w:rsid w:val="005956A5"/>
    <w:rsid w:val="005B6C3C"/>
    <w:rsid w:val="005E08A1"/>
    <w:rsid w:val="005E2F44"/>
    <w:rsid w:val="005E30B0"/>
    <w:rsid w:val="005F35BA"/>
    <w:rsid w:val="00632484"/>
    <w:rsid w:val="00673B22"/>
    <w:rsid w:val="006747AC"/>
    <w:rsid w:val="0068436D"/>
    <w:rsid w:val="0068645B"/>
    <w:rsid w:val="00696A3C"/>
    <w:rsid w:val="006B2D17"/>
    <w:rsid w:val="006B7AD7"/>
    <w:rsid w:val="007061BA"/>
    <w:rsid w:val="007107BD"/>
    <w:rsid w:val="00741A15"/>
    <w:rsid w:val="007659BB"/>
    <w:rsid w:val="00777142"/>
    <w:rsid w:val="00781F3B"/>
    <w:rsid w:val="007A19CA"/>
    <w:rsid w:val="007B4537"/>
    <w:rsid w:val="008343F9"/>
    <w:rsid w:val="008870E9"/>
    <w:rsid w:val="008E08FB"/>
    <w:rsid w:val="009068C7"/>
    <w:rsid w:val="0091081C"/>
    <w:rsid w:val="00912064"/>
    <w:rsid w:val="009203F1"/>
    <w:rsid w:val="0092332F"/>
    <w:rsid w:val="00932C99"/>
    <w:rsid w:val="00933D8B"/>
    <w:rsid w:val="00956D47"/>
    <w:rsid w:val="00965AF5"/>
    <w:rsid w:val="00986702"/>
    <w:rsid w:val="00996DCE"/>
    <w:rsid w:val="009C0265"/>
    <w:rsid w:val="009C5219"/>
    <w:rsid w:val="009E1B7C"/>
    <w:rsid w:val="009F002C"/>
    <w:rsid w:val="00A05247"/>
    <w:rsid w:val="00A058C4"/>
    <w:rsid w:val="00A334A0"/>
    <w:rsid w:val="00A34808"/>
    <w:rsid w:val="00A500E5"/>
    <w:rsid w:val="00A54408"/>
    <w:rsid w:val="00A55AE6"/>
    <w:rsid w:val="00A7188B"/>
    <w:rsid w:val="00A84D46"/>
    <w:rsid w:val="00A94181"/>
    <w:rsid w:val="00AC3FFB"/>
    <w:rsid w:val="00AD0F64"/>
    <w:rsid w:val="00B00EB0"/>
    <w:rsid w:val="00B13D8E"/>
    <w:rsid w:val="00B322A9"/>
    <w:rsid w:val="00B371D6"/>
    <w:rsid w:val="00B41F2E"/>
    <w:rsid w:val="00B44F37"/>
    <w:rsid w:val="00C410AE"/>
    <w:rsid w:val="00C90686"/>
    <w:rsid w:val="00C939BA"/>
    <w:rsid w:val="00C93F46"/>
    <w:rsid w:val="00C95FAE"/>
    <w:rsid w:val="00CC7A8E"/>
    <w:rsid w:val="00CD71DF"/>
    <w:rsid w:val="00CE04C1"/>
    <w:rsid w:val="00CE7F26"/>
    <w:rsid w:val="00D157C3"/>
    <w:rsid w:val="00D271C4"/>
    <w:rsid w:val="00D4352A"/>
    <w:rsid w:val="00D7260A"/>
    <w:rsid w:val="00D964A3"/>
    <w:rsid w:val="00DB4817"/>
    <w:rsid w:val="00DC69CE"/>
    <w:rsid w:val="00DE4871"/>
    <w:rsid w:val="00E32B5D"/>
    <w:rsid w:val="00E344EC"/>
    <w:rsid w:val="00E53745"/>
    <w:rsid w:val="00E64EDC"/>
    <w:rsid w:val="00E67997"/>
    <w:rsid w:val="00E717D1"/>
    <w:rsid w:val="00EF28FE"/>
    <w:rsid w:val="00F03DE0"/>
    <w:rsid w:val="00F2337E"/>
    <w:rsid w:val="00F837F3"/>
    <w:rsid w:val="00F85145"/>
    <w:rsid w:val="00FD69E2"/>
    <w:rsid w:val="00FD7AC6"/>
    <w:rsid w:val="00FE022E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0E1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157C3"/>
    <w:pPr>
      <w:widowControl w:val="0"/>
      <w:suppressAutoHyphens/>
      <w:spacing w:after="115"/>
      <w:ind w:left="36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157C3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D157C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254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rsid w:val="00CE7F2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ngjalan11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 jalan</dc:creator>
  <cp:lastModifiedBy>blitz krieg</cp:lastModifiedBy>
  <cp:revision>6</cp:revision>
  <cp:lastPrinted>2024-06-09T10:01:00Z</cp:lastPrinted>
  <dcterms:created xsi:type="dcterms:W3CDTF">2025-05-21T09:01:00Z</dcterms:created>
  <dcterms:modified xsi:type="dcterms:W3CDTF">2025-05-26T04:31:00Z</dcterms:modified>
</cp:coreProperties>
</file>